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79EC" w14:textId="77777777" w:rsidR="008A3067" w:rsidRDefault="008A3067" w:rsidP="008A3067">
      <w:pPr>
        <w:spacing w:line="270" w:lineRule="atLeast"/>
        <w:textAlignment w:val="baseline"/>
        <w:rPr>
          <w:caps/>
          <w:sz w:val="18"/>
          <w:szCs w:val="18"/>
        </w:rPr>
      </w:pPr>
      <w:r>
        <w:rPr>
          <w:caps/>
          <w:sz w:val="18"/>
          <w:szCs w:val="18"/>
        </w:rPr>
        <w:t>PROPOSTE ENTRO IL 30 NOVEMBRE 2021 - 06 OTTOBRE 2021 ORE 06:00</w:t>
      </w:r>
    </w:p>
    <w:p w14:paraId="6D342D05" w14:textId="77777777" w:rsidR="008A3067" w:rsidRDefault="008A3067" w:rsidP="008A3067">
      <w:pPr>
        <w:pStyle w:val="Titolo1"/>
        <w:spacing w:before="0" w:beforeAutospacing="0" w:after="165" w:afterAutospacing="0" w:line="630" w:lineRule="atLeast"/>
        <w:textAlignment w:val="baseline"/>
        <w:rPr>
          <w:b w:val="0"/>
          <w:bCs w:val="0"/>
          <w:color w:val="007AC3"/>
          <w:sz w:val="54"/>
          <w:szCs w:val="54"/>
        </w:rPr>
      </w:pPr>
      <w:r>
        <w:rPr>
          <w:b w:val="0"/>
          <w:bCs w:val="0"/>
          <w:color w:val="007AC3"/>
          <w:sz w:val="54"/>
          <w:szCs w:val="54"/>
        </w:rPr>
        <w:t xml:space="preserve">Programma LIFE 2021-2027: finanziati i progetti per transizione energetica </w:t>
      </w:r>
      <w:proofErr w:type="gramStart"/>
      <w:r>
        <w:rPr>
          <w:b w:val="0"/>
          <w:bCs w:val="0"/>
          <w:color w:val="007AC3"/>
          <w:sz w:val="54"/>
          <w:szCs w:val="54"/>
        </w:rPr>
        <w:t>e</w:t>
      </w:r>
      <w:proofErr w:type="gramEnd"/>
      <w:r>
        <w:rPr>
          <w:b w:val="0"/>
          <w:bCs w:val="0"/>
          <w:color w:val="007AC3"/>
          <w:sz w:val="54"/>
          <w:szCs w:val="54"/>
        </w:rPr>
        <w:t xml:space="preserve"> economia circolare</w:t>
      </w:r>
    </w:p>
    <w:p w14:paraId="69013365" w14:textId="5EFBDBAD" w:rsidR="008A3067" w:rsidRDefault="008A3067" w:rsidP="008A3067">
      <w:pPr>
        <w:shd w:val="clear" w:color="auto" w:fill="FFFFFF"/>
        <w:textAlignment w:val="baseline"/>
        <w:rPr>
          <w:rFonts w:ascii="Fira Sans" w:hAnsi="Fira Sans"/>
          <w:color w:val="000000"/>
          <w:sz w:val="18"/>
          <w:szCs w:val="18"/>
        </w:rPr>
      </w:pPr>
    </w:p>
    <w:p w14:paraId="6E1DA9E4" w14:textId="77777777" w:rsidR="008A3067" w:rsidRDefault="008A3067" w:rsidP="008A3067">
      <w:pPr>
        <w:pStyle w:val="abstract"/>
        <w:shd w:val="clear" w:color="auto" w:fill="FFFFFF"/>
        <w:spacing w:before="90" w:beforeAutospacing="0" w:after="300" w:afterAutospacing="0" w:line="360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Il nuovo Programma LIFE 2021-2027, con un budget di 5,4 miliardi di euro a disposizione, è uno dei pilastri della Commissione UE per realizzare il Green </w:t>
      </w:r>
      <w:proofErr w:type="spellStart"/>
      <w:r>
        <w:rPr>
          <w:rFonts w:ascii="Fira Sans" w:hAnsi="Fira Sans"/>
          <w:color w:val="000000"/>
          <w:sz w:val="23"/>
          <w:szCs w:val="23"/>
        </w:rPr>
        <w:t>Deal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Europeo. Il principale obiettivo è contribuire alla transizione energetica ed alla creazione di un modello di economia circolare attraverso il finanziamento di imprese e autorità pubbliche. Tra le novità della nuova edizione, la previsione di una piattaforma di applicazione unificata con quella del resto dei programmi europei e l’incremento del tasso di finanziamento fino al 95% per i progetti che mirano ad abbattere le barriere di mercato per l'implementazione di tecnologie pulite. Le proposte devono essere presentate direttamente online, attraverso il portale Funding &amp; </w:t>
      </w:r>
      <w:proofErr w:type="spellStart"/>
      <w:r>
        <w:rPr>
          <w:rFonts w:ascii="Fira Sans" w:hAnsi="Fira Sans"/>
          <w:color w:val="000000"/>
          <w:sz w:val="23"/>
          <w:szCs w:val="23"/>
        </w:rPr>
        <w:t>Tenders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Portal, entro il 30 novembre 2021.</w:t>
      </w:r>
    </w:p>
    <w:p w14:paraId="030B87DE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 13 luglio 2021 è stato aperto il primo invito a presentare proposte LIFE nell'ambito del nuovo programma LIFE 2021-2027.</w:t>
      </w:r>
    </w:p>
    <w:p w14:paraId="6C6802D2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programma LIFE</w:t>
      </w:r>
      <w:r>
        <w:rPr>
          <w:rFonts w:ascii="Fira Sans" w:hAnsi="Fira Sans"/>
          <w:color w:val="000000"/>
          <w:sz w:val="23"/>
          <w:szCs w:val="23"/>
        </w:rPr>
        <w:t> è lo strumento di finanziamento dell'UE per l'ambiente e l'azione per il clima. Creato nel 1992, da allora ha cofinanziato migliaia di progetti.</w:t>
      </w:r>
    </w:p>
    <w:p w14:paraId="6D4134D0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 nuovo programma LIFE per il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periodo 2021-2027</w:t>
      </w:r>
      <w:r>
        <w:rPr>
          <w:rFonts w:ascii="Fira Sans" w:hAnsi="Fira Sans"/>
          <w:color w:val="000000"/>
          <w:sz w:val="23"/>
          <w:szCs w:val="23"/>
        </w:rPr>
        <w:t>, con un budget di 5,4 miliardi di euro a disposizione di cui 1mld a sostegno della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Transizione energetica</w:t>
      </w:r>
      <w:r>
        <w:rPr>
          <w:rFonts w:ascii="Fira Sans" w:hAnsi="Fira Sans"/>
          <w:color w:val="000000"/>
          <w:sz w:val="23"/>
          <w:szCs w:val="23"/>
        </w:rPr>
        <w:t>, rappresenta uno dei pilastri della Commissione Europea e strumento principale per realizzare la prima tra le priorità strategiche della Commissione stessa, il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Green 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Deal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Europeo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79941083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 temi principali del programma sono:</w:t>
      </w:r>
    </w:p>
    <w:p w14:paraId="404A62A8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Natura e biodiversità;</w:t>
      </w:r>
    </w:p>
    <w:p w14:paraId="00B7A49F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Economia circolare</w:t>
      </w:r>
      <w:r>
        <w:rPr>
          <w:rFonts w:ascii="Fira Sans" w:hAnsi="Fira Sans"/>
          <w:color w:val="000000"/>
          <w:sz w:val="23"/>
          <w:szCs w:val="23"/>
        </w:rPr>
        <w:t> e qualità della vita;</w:t>
      </w:r>
    </w:p>
    <w:p w14:paraId="20331638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Mitigazione del cambiamento climatico e adattamento;</w:t>
      </w:r>
    </w:p>
    <w:p w14:paraId="62E82D7F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Transizione dell'energia pulita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00264D9A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 bilancio è del 60% in più rispetto alla precedente programmazione, a conferma dell'importanza che la Commissione attribuisce al programma LIFE.</w:t>
      </w:r>
    </w:p>
    <w:p w14:paraId="587BAA51" w14:textId="77777777" w:rsidR="008A3067" w:rsidRDefault="008A3067" w:rsidP="008A3067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lastRenderedPageBreak/>
        <w:t>Novità del nuovo programma</w:t>
      </w:r>
    </w:p>
    <w:p w14:paraId="1B41C710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Fermi restando i regolamenti, che sono molto simili a quelli del bando precedente, per la programmazione 2021-2027 la novità è che 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piattaforma</w:t>
      </w:r>
      <w:r>
        <w:rPr>
          <w:rFonts w:ascii="Fira Sans" w:hAnsi="Fira Sans"/>
          <w:color w:val="000000"/>
          <w:sz w:val="23"/>
          <w:szCs w:val="23"/>
        </w:rPr>
        <w:t> di applicazione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sarà unificata</w:t>
      </w:r>
      <w:r>
        <w:rPr>
          <w:rFonts w:ascii="Fira Sans" w:hAnsi="Fira Sans"/>
          <w:color w:val="000000"/>
          <w:sz w:val="23"/>
          <w:szCs w:val="23"/>
        </w:rPr>
        <w:t xml:space="preserve"> con quella del resto dei programmi europei: Funding &amp; Tender </w:t>
      </w:r>
      <w:proofErr w:type="spellStart"/>
      <w:r>
        <w:rPr>
          <w:rFonts w:ascii="Fira Sans" w:hAnsi="Fira Sans"/>
          <w:color w:val="000000"/>
          <w:sz w:val="23"/>
          <w:szCs w:val="23"/>
        </w:rPr>
        <w:t>Opportunities</w:t>
      </w:r>
      <w:proofErr w:type="spellEnd"/>
      <w:r>
        <w:rPr>
          <w:rFonts w:ascii="Fira Sans" w:hAnsi="Fira Sans"/>
          <w:color w:val="000000"/>
          <w:sz w:val="23"/>
          <w:szCs w:val="23"/>
        </w:rPr>
        <w:t>.</w:t>
      </w:r>
    </w:p>
    <w:p w14:paraId="457E6650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Un'altra novità degna di nota è che un nuovo tipo di progetto sarà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finanziato fino al 95%</w:t>
      </w:r>
      <w:r>
        <w:rPr>
          <w:rFonts w:ascii="Fira Sans" w:hAnsi="Fira Sans"/>
          <w:color w:val="000000"/>
          <w:sz w:val="23"/>
          <w:szCs w:val="23"/>
        </w:rPr>
        <w:t>, rispetto al solito 60%. Questo include progetti che mirano ad abbattere le barriere di mercato per l'implementazione di tecnologie pulite.</w:t>
      </w:r>
    </w:p>
    <w:p w14:paraId="1D27D911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Allo stesso modo, due tendenze sono rafforzate. Da un lato, l'importanza dei cosiddetti progetti 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close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-to-market</w:t>
      </w:r>
      <w:r>
        <w:rPr>
          <w:rFonts w:ascii="Fira Sans" w:hAnsi="Fira Sans"/>
          <w:color w:val="000000"/>
          <w:sz w:val="23"/>
          <w:szCs w:val="23"/>
        </w:rPr>
        <w:t>, con un chiaro focus sulla generazione di prodotti e servizi più sostenibili. Dall'altra, si rafforza anche 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ricerca di progetti più globali</w:t>
      </w:r>
      <w:r>
        <w:rPr>
          <w:rFonts w:ascii="Fira Sans" w:hAnsi="Fira Sans"/>
          <w:color w:val="000000"/>
          <w:sz w:val="23"/>
          <w:szCs w:val="23"/>
        </w:rPr>
        <w:t>, che coinvolgono più attori, in cui è sempre più importante includere agenti non tecnologici, la società e i cittadini.</w:t>
      </w:r>
    </w:p>
    <w:p w14:paraId="1CBF1807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Il nuovo programma LIFE sarà gestito da un’agenzia di recente istituzione, la CINEA (Agenzia Esecutiva per il Clima, le Infrastrutture e l’Ambiente), nata nel febbraio del 2021 ed operativa dal 1° aprile, che seguirà anche altri programmi (o loro componenti) relativi all’ambiente, al clima e alle infrastrutture: il Meccanismo per una Transizione Giusta, Horizon Europe, il Meccanismo per Collegare l’Europa e il FEAMP (Fondo europeo per gli affari marittimi, la pesca e l’acquacoltura).</w:t>
      </w:r>
    </w:p>
    <w:p w14:paraId="6A097685" w14:textId="77777777" w:rsidR="008A3067" w:rsidRDefault="008A3067" w:rsidP="008A3067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Beneficiari del programma</w:t>
      </w:r>
    </w:p>
    <w:p w14:paraId="0814AC14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I beneficiari sono:</w:t>
      </w:r>
    </w:p>
    <w:p w14:paraId="1C1A33FD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1) i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soggetti giuridici</w:t>
      </w:r>
      <w:r>
        <w:rPr>
          <w:rFonts w:ascii="Fira Sans" w:hAnsi="Fira Sans"/>
          <w:color w:val="000000"/>
          <w:sz w:val="23"/>
          <w:szCs w:val="23"/>
        </w:rPr>
        <w:t> stabiliti in uno dei seguenti paesi o territori:</w:t>
      </w:r>
    </w:p>
    <w:p w14:paraId="344937A5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uno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Stato membro</w:t>
      </w:r>
      <w:r>
        <w:rPr>
          <w:rFonts w:ascii="Fira Sans" w:hAnsi="Fira Sans"/>
          <w:color w:val="000000"/>
          <w:sz w:val="23"/>
          <w:szCs w:val="23"/>
        </w:rPr>
        <w:t> o un paese o territorio d’oltremare a esso connesso;</w:t>
      </w:r>
    </w:p>
    <w:p w14:paraId="77E87A66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un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paese terzo</w:t>
      </w:r>
      <w:r>
        <w:rPr>
          <w:rFonts w:ascii="Fira Sans" w:hAnsi="Fira Sans"/>
          <w:color w:val="000000"/>
          <w:sz w:val="23"/>
          <w:szCs w:val="23"/>
        </w:rPr>
        <w:t> associato al programma;</w:t>
      </w:r>
    </w:p>
    <w:p w14:paraId="2CAC8382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un altro paese terzo in virtù di specifici accordi;</w:t>
      </w:r>
    </w:p>
    <w:p w14:paraId="713DCDCB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2) i soggetti giuridici costituiti a norma del diritto dell’Unione o le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organizzazioni internazionali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6B0CCE18" w14:textId="77777777" w:rsidR="008A3067" w:rsidRDefault="008A3067" w:rsidP="008A3067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t>Obiettivi</w:t>
      </w:r>
    </w:p>
    <w:p w14:paraId="654B578B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Gli obiettivi che ciascun </w:t>
      </w:r>
      <w:proofErr w:type="spellStart"/>
      <w:r>
        <w:rPr>
          <w:rFonts w:ascii="Fira Sans" w:hAnsi="Fira Sans"/>
          <w:color w:val="000000"/>
          <w:sz w:val="23"/>
          <w:szCs w:val="23"/>
        </w:rPr>
        <w:t>topic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vuole realizzare sono:</w:t>
      </w:r>
    </w:p>
    <w:p w14:paraId="166A4DD5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Climate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Change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Adaptation</w:t>
      </w:r>
      <w:r>
        <w:rPr>
          <w:rFonts w:ascii="Fira Sans" w:hAnsi="Fira Sans"/>
          <w:color w:val="000000"/>
          <w:sz w:val="23"/>
          <w:szCs w:val="23"/>
        </w:rPr>
        <w:t>: realizzare la visione a lungo termine della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nuova strategia dell'UE</w:t>
      </w:r>
      <w:r>
        <w:rPr>
          <w:rFonts w:ascii="Fira Sans" w:hAnsi="Fira Sans"/>
          <w:color w:val="000000"/>
          <w:sz w:val="23"/>
          <w:szCs w:val="23"/>
        </w:rPr>
        <w:t xml:space="preserve"> sull'adattamento ai cambiamenti climatici secondo cui, nel 2050, l'UE sarà una società resiliente al clima che si è pienamente adattata agli impatti inevitabili dei </w:t>
      </w:r>
      <w:r>
        <w:rPr>
          <w:rFonts w:ascii="Fira Sans" w:hAnsi="Fira Sans"/>
          <w:color w:val="000000"/>
          <w:sz w:val="23"/>
          <w:szCs w:val="23"/>
        </w:rPr>
        <w:lastRenderedPageBreak/>
        <w:t>cambiamenti climatici. I progetti dovrebbero contribuire a rafforzare la capacità di adattamento, a rafforzare la resilienza e a ridurre la vulnerabilità, in linea con l'accordo di Parigi e la proposta di legge europea sul clima.</w:t>
      </w:r>
    </w:p>
    <w:p w14:paraId="0738B229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Climate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Change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Mitigation</w:t>
      </w:r>
      <w:proofErr w:type="spellEnd"/>
      <w:r>
        <w:rPr>
          <w:rFonts w:ascii="Fira Sans" w:hAnsi="Fira Sans"/>
          <w:color w:val="000000"/>
          <w:sz w:val="23"/>
          <w:szCs w:val="23"/>
        </w:rPr>
        <w:t>: contribuire alla transizione socialmente giusta e sostenibile verso un'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economia neutrale</w:t>
      </w:r>
      <w:r>
        <w:rPr>
          <w:rFonts w:ascii="Fira Sans" w:hAnsi="Fira Sans"/>
          <w:color w:val="000000"/>
          <w:sz w:val="23"/>
          <w:szCs w:val="23"/>
        </w:rPr>
        <w:t> dal punto di vista climatico entro il 2050 e al raggiungimento dell'obiettivo di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riduzione delle emissioni</w:t>
      </w:r>
      <w:r>
        <w:rPr>
          <w:rFonts w:ascii="Fira Sans" w:hAnsi="Fira Sans"/>
          <w:color w:val="000000"/>
          <w:sz w:val="23"/>
          <w:szCs w:val="23"/>
        </w:rPr>
        <w:t> dell'UE per il 2030 di almeno il 55% rispetto ai livelli del 1990.</w:t>
      </w:r>
    </w:p>
    <w:p w14:paraId="251770D7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Climate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Governance and Information</w:t>
      </w:r>
      <w:r>
        <w:rPr>
          <w:rFonts w:ascii="Fira Sans" w:hAnsi="Fira Sans"/>
          <w:color w:val="000000"/>
          <w:sz w:val="23"/>
          <w:szCs w:val="23"/>
        </w:rPr>
        <w:t>: sostenere lo sviluppo, l'attuazione, il monitoraggio e l'applicazione della legislazione e della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politica dell'Unione</w:t>
      </w:r>
      <w:r>
        <w:rPr>
          <w:rFonts w:ascii="Fira Sans" w:hAnsi="Fira Sans"/>
          <w:color w:val="000000"/>
          <w:sz w:val="23"/>
          <w:szCs w:val="23"/>
        </w:rPr>
        <w:t> sul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cambiamento climatico</w:t>
      </w:r>
      <w:r>
        <w:rPr>
          <w:rFonts w:ascii="Fira Sans" w:hAnsi="Fira Sans"/>
          <w:color w:val="000000"/>
          <w:sz w:val="23"/>
          <w:szCs w:val="23"/>
        </w:rPr>
        <w:t>, contribuendo alla mitigazione del cambiamento climatico e/o all'adattamento. Ciò include il miglioramento della governance attraverso il rafforzamento delle capacità degli attori pubblici e privati e il coinvolgimento della società civile.</w:t>
      </w:r>
    </w:p>
    <w:p w14:paraId="0F50A673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Circular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Economy</w:t>
      </w:r>
      <w:r>
        <w:rPr>
          <w:rFonts w:ascii="Fira Sans" w:hAnsi="Fira Sans"/>
          <w:color w:val="000000"/>
          <w:sz w:val="23"/>
          <w:szCs w:val="23"/>
        </w:rPr>
        <w:t xml:space="preserve">, </w:t>
      </w:r>
      <w:proofErr w:type="spellStart"/>
      <w:r>
        <w:rPr>
          <w:rFonts w:ascii="Fira Sans" w:hAnsi="Fira Sans"/>
          <w:color w:val="000000"/>
          <w:sz w:val="23"/>
          <w:szCs w:val="23"/>
        </w:rPr>
        <w:t>resources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from Waste, Air, Water, </w:t>
      </w:r>
      <w:proofErr w:type="spellStart"/>
      <w:r>
        <w:rPr>
          <w:rFonts w:ascii="Fira Sans" w:hAnsi="Fira Sans"/>
          <w:color w:val="000000"/>
          <w:sz w:val="23"/>
          <w:szCs w:val="23"/>
        </w:rPr>
        <w:t>Soil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, </w:t>
      </w:r>
      <w:proofErr w:type="spellStart"/>
      <w:r>
        <w:rPr>
          <w:rFonts w:ascii="Fira Sans" w:hAnsi="Fira Sans"/>
          <w:color w:val="000000"/>
          <w:sz w:val="23"/>
          <w:szCs w:val="23"/>
        </w:rPr>
        <w:t>Noise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, </w:t>
      </w:r>
      <w:proofErr w:type="spellStart"/>
      <w:r>
        <w:rPr>
          <w:rFonts w:ascii="Fira Sans" w:hAnsi="Fira Sans"/>
          <w:color w:val="000000"/>
          <w:sz w:val="23"/>
          <w:szCs w:val="23"/>
        </w:rPr>
        <w:t>Chemicals</w:t>
      </w:r>
      <w:proofErr w:type="spellEnd"/>
      <w:r>
        <w:rPr>
          <w:rFonts w:ascii="Fira Sans" w:hAnsi="Fira Sans"/>
          <w:color w:val="000000"/>
          <w:sz w:val="23"/>
          <w:szCs w:val="23"/>
        </w:rPr>
        <w:t>, Bauhaus: facilitare la transizione verso un'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economia sostenibile</w:t>
      </w:r>
      <w:r>
        <w:rPr>
          <w:rFonts w:ascii="Fira Sans" w:hAnsi="Fira Sans"/>
          <w:color w:val="000000"/>
          <w:sz w:val="23"/>
          <w:szCs w:val="23"/>
        </w:rPr>
        <w:t>,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circolare</w:t>
      </w:r>
      <w:r>
        <w:rPr>
          <w:rFonts w:ascii="Fira Sans" w:hAnsi="Fira Sans"/>
          <w:color w:val="000000"/>
          <w:sz w:val="23"/>
          <w:szCs w:val="23"/>
        </w:rPr>
        <w:t>, priva di sostanze tossiche, efficiente dal punto di vista energetico e resiliente al clima e verso un ambiente privo di sostanze tossiche, nonché di proteggere, ripristinare e migliorare la qualità dell'ambiente.</w:t>
      </w:r>
    </w:p>
    <w:p w14:paraId="240E420D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L'obiettivo specifico è quello di coprire uno o più dei seguenti argomenti: economia circolare e rifiuti, aria, acqua, suolo, rumore, prodotti chimici, un nuovo </w:t>
      </w:r>
      <w:proofErr w:type="spellStart"/>
      <w:r>
        <w:rPr>
          <w:rFonts w:ascii="Fira Sans" w:hAnsi="Fira Sans"/>
          <w:color w:val="000000"/>
          <w:sz w:val="23"/>
          <w:szCs w:val="23"/>
        </w:rPr>
        <w:t>bauhaus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europeo.</w:t>
      </w:r>
    </w:p>
    <w:p w14:paraId="5208B002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Environment governance</w:t>
      </w:r>
      <w:r>
        <w:rPr>
          <w:rFonts w:ascii="Fira Sans" w:hAnsi="Fira Sans"/>
          <w:color w:val="000000"/>
          <w:sz w:val="23"/>
          <w:szCs w:val="23"/>
        </w:rPr>
        <w:t>: facilitare la transizione verso un'economia sostenibile, circolare, priva di sostanze tossiche, efficiente dal punto di vista energetico e resiliente al clima e verso un ambiente privo di sostanze tossiche, nonché di proteggere, ripristinare e migliorare la qualità dell'ambiente. L'obiettivo specifico è quello di coprire uno o più dei seguenti argomenti:</w:t>
      </w:r>
    </w:p>
    <w:p w14:paraId="32551AEA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a. attività di supporto al processo decisionale delle pubbliche amministrazioni e approcci volontari;</w:t>
      </w:r>
    </w:p>
    <w:p w14:paraId="05F642DA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b. garanzia di conformità ambientale e accesso alla giustizia;</w:t>
      </w:r>
    </w:p>
    <w:p w14:paraId="536F4F61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c. iniziative di cambiamento del comportamento e di sensibilizzazione.</w:t>
      </w:r>
    </w:p>
    <w:p w14:paraId="70452031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Nature Governance</w:t>
      </w:r>
      <w:r>
        <w:rPr>
          <w:rFonts w:ascii="Fira Sans" w:hAnsi="Fira Sans"/>
          <w:color w:val="000000"/>
          <w:sz w:val="23"/>
          <w:szCs w:val="23"/>
        </w:rPr>
        <w:t>: contribuire alla protezione della natura e della biodiversità: sostenere la politica della natura e della biodiversità, la garanzia di conformità alla legislazione e/o promuovere l'effettiva partecipazione pubblica e l'accesso alla giustizia nelle questioni relative alla politica della natura e della biodiversità.</w:t>
      </w:r>
    </w:p>
    <w:p w14:paraId="26F0DD7B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Nature and 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Biodiversity</w:t>
      </w:r>
      <w:proofErr w:type="spellEnd"/>
      <w:r>
        <w:rPr>
          <w:rFonts w:ascii="Fira Sans" w:hAnsi="Fira Sans"/>
          <w:color w:val="000000"/>
          <w:sz w:val="23"/>
          <w:szCs w:val="23"/>
        </w:rPr>
        <w:t>: contribuire agli obiettivi dell'Unione Europea per la protezione, il mantenimento e il ripristino del capitale naturale dell'Unione nei suoi ecosistemi marini, d'acqua dolce e terrestri.</w:t>
      </w:r>
    </w:p>
    <w:p w14:paraId="016D7DE5" w14:textId="77777777" w:rsidR="008A3067" w:rsidRDefault="008A3067" w:rsidP="008A3067">
      <w:pPr>
        <w:pStyle w:val="Titolo2"/>
        <w:shd w:val="clear" w:color="auto" w:fill="FFFFFF"/>
        <w:spacing w:before="450" w:after="375" w:line="360" w:lineRule="atLeast"/>
        <w:textAlignment w:val="baseline"/>
        <w:rPr>
          <w:rFonts w:ascii="Fira Sans" w:hAnsi="Fira Sans"/>
          <w:color w:val="000000"/>
          <w:sz w:val="27"/>
          <w:szCs w:val="27"/>
        </w:rPr>
      </w:pPr>
      <w:r>
        <w:rPr>
          <w:rFonts w:ascii="Fira Sans" w:hAnsi="Fira Sans"/>
          <w:b/>
          <w:bCs/>
          <w:color w:val="000000"/>
          <w:sz w:val="27"/>
          <w:szCs w:val="27"/>
        </w:rPr>
        <w:lastRenderedPageBreak/>
        <w:t>Scadenze e modalità di partecipazione</w:t>
      </w:r>
    </w:p>
    <w:p w14:paraId="6083753C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Tutte le proposte devono essere presentate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direttamente online</w:t>
      </w:r>
      <w:r>
        <w:rPr>
          <w:rFonts w:ascii="Fira Sans" w:hAnsi="Fira Sans"/>
          <w:color w:val="000000"/>
          <w:sz w:val="23"/>
          <w:szCs w:val="23"/>
        </w:rPr>
        <w:t> attraverso il portale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Funding &amp; 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Tenders</w:t>
      </w:r>
      <w:proofErr w:type="spell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Portal</w:t>
      </w:r>
      <w:r>
        <w:rPr>
          <w:rFonts w:ascii="Fira Sans" w:hAnsi="Fira Sans"/>
          <w:color w:val="000000"/>
          <w:sz w:val="23"/>
          <w:szCs w:val="23"/>
        </w:rPr>
        <w:t>. Le domande cartacee non sono accettate.</w:t>
      </w:r>
    </w:p>
    <w:p w14:paraId="2E355DBC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La presentazione della domanda segue un processo diviso in </w:t>
      </w:r>
      <w:proofErr w:type="gram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2</w:t>
      </w:r>
      <w:proofErr w:type="gramEnd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fasi</w:t>
      </w:r>
      <w:r>
        <w:rPr>
          <w:rFonts w:ascii="Fira Sans" w:hAnsi="Fira Sans"/>
          <w:color w:val="000000"/>
          <w:sz w:val="23"/>
          <w:szCs w:val="23"/>
        </w:rPr>
        <w:t>:</w:t>
      </w:r>
    </w:p>
    <w:p w14:paraId="5059B98E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a) creare un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account utente</w:t>
      </w:r>
      <w:r>
        <w:rPr>
          <w:rFonts w:ascii="Fira Sans" w:hAnsi="Fira Sans"/>
          <w:color w:val="000000"/>
          <w:sz w:val="23"/>
          <w:szCs w:val="23"/>
        </w:rPr>
        <w:t> e registrare la propria organizzazione.</w:t>
      </w:r>
    </w:p>
    <w:p w14:paraId="1D3068A3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Per utilizzare il </w:t>
      </w:r>
      <w:proofErr w:type="spellStart"/>
      <w:r>
        <w:rPr>
          <w:rFonts w:ascii="Fira Sans" w:hAnsi="Fira Sans"/>
          <w:color w:val="000000"/>
          <w:sz w:val="23"/>
          <w:szCs w:val="23"/>
        </w:rPr>
        <w:t>Submission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System (l'unico modo per presentare la domanda), tutti i partecipanti devono creare un account utente EU Login.</w:t>
      </w:r>
    </w:p>
    <w:p w14:paraId="652AE5D7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Una volta che ottenuto l'account </w:t>
      </w:r>
      <w:proofErr w:type="spellStart"/>
      <w:r>
        <w:rPr>
          <w:rFonts w:ascii="Fira Sans" w:hAnsi="Fira Sans"/>
          <w:color w:val="000000"/>
          <w:sz w:val="23"/>
          <w:szCs w:val="23"/>
        </w:rPr>
        <w:t>EULogin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, ci si può registrare nel registro dei partecipanti. Una volta completata la registrazione, si riceverà un codice di identificazione del partecipante a </w:t>
      </w:r>
      <w:proofErr w:type="gramStart"/>
      <w:r>
        <w:rPr>
          <w:rFonts w:ascii="Fira Sans" w:hAnsi="Fira Sans"/>
          <w:color w:val="000000"/>
          <w:sz w:val="23"/>
          <w:szCs w:val="23"/>
        </w:rPr>
        <w:t>9</w:t>
      </w:r>
      <w:proofErr w:type="gramEnd"/>
      <w:r>
        <w:rPr>
          <w:rFonts w:ascii="Fira Sans" w:hAnsi="Fira Sans"/>
          <w:color w:val="000000"/>
          <w:sz w:val="23"/>
          <w:szCs w:val="23"/>
        </w:rPr>
        <w:t xml:space="preserve"> cifre (PIC).</w:t>
      </w:r>
    </w:p>
    <w:p w14:paraId="39C064E3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b)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presentare</w:t>
      </w:r>
      <w:r>
        <w:rPr>
          <w:rFonts w:ascii="Fira Sans" w:hAnsi="Fira Sans"/>
          <w:color w:val="000000"/>
          <w:sz w:val="23"/>
          <w:szCs w:val="23"/>
        </w:rPr>
        <w:t> 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proposta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24EB3501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 xml:space="preserve">Accedere al sistema di presentazione elettronica attraverso la pagina tematica nella sezione </w:t>
      </w:r>
      <w:proofErr w:type="spellStart"/>
      <w:r>
        <w:rPr>
          <w:rFonts w:ascii="Fira Sans" w:hAnsi="Fira Sans"/>
          <w:color w:val="000000"/>
          <w:sz w:val="23"/>
          <w:szCs w:val="23"/>
        </w:rPr>
        <w:t>Search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Funding &amp; </w:t>
      </w:r>
      <w:proofErr w:type="spellStart"/>
      <w:r>
        <w:rPr>
          <w:rFonts w:ascii="Fira Sans" w:hAnsi="Fira Sans"/>
          <w:color w:val="000000"/>
          <w:sz w:val="23"/>
          <w:szCs w:val="23"/>
        </w:rPr>
        <w:t>Tenders</w:t>
      </w:r>
      <w:proofErr w:type="spellEnd"/>
      <w:r>
        <w:rPr>
          <w:rFonts w:ascii="Fira Sans" w:hAnsi="Fira Sans"/>
          <w:color w:val="000000"/>
          <w:sz w:val="23"/>
          <w:szCs w:val="23"/>
        </w:rPr>
        <w:t xml:space="preserve"> (o, per i bandi inviati tramite invito a presentare una proposta, attraverso il link fornito nella lettera d'invito).</w:t>
      </w:r>
    </w:p>
    <w:p w14:paraId="6E5D2759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proposta</w:t>
      </w:r>
      <w:r>
        <w:rPr>
          <w:rFonts w:ascii="Fira Sans" w:hAnsi="Fira Sans"/>
          <w:color w:val="000000"/>
          <w:sz w:val="23"/>
          <w:szCs w:val="23"/>
        </w:rPr>
        <w:t xml:space="preserve"> è articolata in </w:t>
      </w:r>
      <w:proofErr w:type="gramStart"/>
      <w:r>
        <w:rPr>
          <w:rFonts w:ascii="Fira Sans" w:hAnsi="Fira Sans"/>
          <w:color w:val="000000"/>
          <w:sz w:val="23"/>
          <w:szCs w:val="23"/>
        </w:rPr>
        <w:t>4</w:t>
      </w:r>
      <w:proofErr w:type="gramEnd"/>
      <w:r>
        <w:rPr>
          <w:rFonts w:ascii="Fira Sans" w:hAnsi="Fira Sans"/>
          <w:color w:val="000000"/>
          <w:sz w:val="23"/>
          <w:szCs w:val="23"/>
        </w:rPr>
        <w:t xml:space="preserve"> parti:</w:t>
      </w:r>
    </w:p>
    <w:p w14:paraId="06BB862F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parte A</w:t>
      </w:r>
      <w:r>
        <w:rPr>
          <w:rFonts w:ascii="Fira Sans" w:hAnsi="Fira Sans"/>
          <w:color w:val="000000"/>
          <w:sz w:val="23"/>
          <w:szCs w:val="23"/>
        </w:rPr>
        <w:t> include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informazioni amministrative</w:t>
      </w:r>
      <w:r>
        <w:rPr>
          <w:rFonts w:ascii="Fira Sans" w:hAnsi="Fira Sans"/>
          <w:color w:val="000000"/>
          <w:sz w:val="23"/>
          <w:szCs w:val="23"/>
        </w:rPr>
        <w:t> sulle organizzazioni richiedenti (futuro coordinatore, beneficiari, entità affiliate e partner associati) e il bilancio riassuntivo della proposta;</w:t>
      </w:r>
    </w:p>
    <w:p w14:paraId="63176E7F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parte B</w:t>
      </w:r>
      <w:r>
        <w:rPr>
          <w:rFonts w:ascii="Fira Sans" w:hAnsi="Fira Sans"/>
          <w:color w:val="000000"/>
          <w:sz w:val="23"/>
          <w:szCs w:val="23"/>
        </w:rPr>
        <w:t> (descrizione dell'azione) copre il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contenuto tecnico</w:t>
      </w:r>
      <w:r>
        <w:rPr>
          <w:rFonts w:ascii="Fira Sans" w:hAnsi="Fira Sans"/>
          <w:color w:val="000000"/>
          <w:sz w:val="23"/>
          <w:szCs w:val="23"/>
        </w:rPr>
        <w:t> della proposta;</w:t>
      </w:r>
    </w:p>
    <w:p w14:paraId="14F6EB89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parte C</w:t>
      </w:r>
      <w:r>
        <w:rPr>
          <w:rFonts w:ascii="Fira Sans" w:hAnsi="Fira Sans"/>
          <w:color w:val="000000"/>
          <w:sz w:val="23"/>
          <w:szCs w:val="23"/>
        </w:rPr>
        <w:t> contenente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dati aggiuntivi</w:t>
      </w:r>
      <w:r>
        <w:rPr>
          <w:rFonts w:ascii="Fira Sans" w:hAnsi="Fira Sans"/>
          <w:color w:val="000000"/>
          <w:sz w:val="23"/>
          <w:szCs w:val="23"/>
        </w:rPr>
        <w:t> del progetto;</w:t>
      </w:r>
    </w:p>
    <w:p w14:paraId="5FB6A1BD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- la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parte D</w:t>
      </w:r>
      <w:r>
        <w:rPr>
          <w:rFonts w:ascii="Fira Sans" w:hAnsi="Fira Sans"/>
          <w:color w:val="000000"/>
          <w:sz w:val="23"/>
          <w:szCs w:val="23"/>
        </w:rPr>
        <w:t> include gli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allegati</w:t>
      </w:r>
      <w:r>
        <w:rPr>
          <w:rFonts w:ascii="Fira Sans" w:hAnsi="Fira Sans"/>
          <w:color w:val="000000"/>
          <w:sz w:val="23"/>
          <w:szCs w:val="23"/>
        </w:rPr>
        <w:t>.</w:t>
      </w:r>
    </w:p>
    <w:p w14:paraId="7C67A79F" w14:textId="77777777" w:rsidR="008A3067" w:rsidRDefault="008A3067" w:rsidP="008A3067">
      <w:pPr>
        <w:shd w:val="clear" w:color="auto" w:fill="FFFFFF"/>
        <w:spacing w:line="315" w:lineRule="atLeast"/>
        <w:textAlignment w:val="baseline"/>
        <w:rPr>
          <w:rFonts w:ascii="Fira Sans" w:hAnsi="Fira Sans"/>
          <w:color w:val="000000"/>
          <w:sz w:val="23"/>
          <w:szCs w:val="23"/>
        </w:rPr>
      </w:pPr>
      <w:r>
        <w:rPr>
          <w:rFonts w:ascii="Fira Sans" w:hAnsi="Fira Sans"/>
          <w:color w:val="000000"/>
          <w:sz w:val="23"/>
          <w:szCs w:val="23"/>
        </w:rPr>
        <w:t>Dei 33 “</w:t>
      </w:r>
      <w:proofErr w:type="spellStart"/>
      <w:r>
        <w:rPr>
          <w:rFonts w:ascii="Fira Sans" w:hAnsi="Fira Sans"/>
          <w:color w:val="000000"/>
          <w:sz w:val="23"/>
          <w:szCs w:val="23"/>
        </w:rPr>
        <w:t>topics</w:t>
      </w:r>
      <w:proofErr w:type="spellEnd"/>
      <w:r>
        <w:rPr>
          <w:rFonts w:ascii="Fira Sans" w:hAnsi="Fira Sans"/>
          <w:color w:val="000000"/>
          <w:sz w:val="23"/>
          <w:szCs w:val="23"/>
        </w:rPr>
        <w:t>” di cui è composto il programma “Life 2021-2027”, la scadenza per presentare le proposte, per i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7 </w:t>
      </w:r>
      <w:proofErr w:type="spellStart"/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topics</w:t>
      </w:r>
      <w:proofErr w:type="spellEnd"/>
      <w:r>
        <w:rPr>
          <w:rFonts w:ascii="Fira Sans" w:hAnsi="Fira Sans"/>
          <w:color w:val="000000"/>
          <w:sz w:val="23"/>
          <w:szCs w:val="23"/>
        </w:rPr>
        <w:t> illustrati, è fissata per il </w:t>
      </w:r>
      <w:r>
        <w:rPr>
          <w:rStyle w:val="Enfasigrassetto"/>
          <w:rFonts w:ascii="Fira Sans" w:eastAsiaTheme="majorEastAsia" w:hAnsi="Fira Sans"/>
          <w:b w:val="0"/>
          <w:bCs w:val="0"/>
          <w:color w:val="000000"/>
          <w:sz w:val="23"/>
          <w:szCs w:val="23"/>
          <w:bdr w:val="none" w:sz="0" w:space="0" w:color="auto" w:frame="1"/>
        </w:rPr>
        <w:t>30 novembre 2021</w:t>
      </w:r>
      <w:r>
        <w:rPr>
          <w:rFonts w:ascii="Fira Sans" w:hAnsi="Fira Sans"/>
          <w:color w:val="000000"/>
          <w:sz w:val="23"/>
          <w:szCs w:val="23"/>
        </w:rPr>
        <w:t>.</w:t>
      </w:r>
    </w:p>
    <w:sectPr w:rsidR="008A306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91C6" w14:textId="77777777" w:rsidR="0092307A" w:rsidRDefault="0092307A">
      <w:r>
        <w:separator/>
      </w:r>
    </w:p>
  </w:endnote>
  <w:endnote w:type="continuationSeparator" w:id="0">
    <w:p w14:paraId="7F09FFBD" w14:textId="77777777" w:rsidR="0092307A" w:rsidRDefault="009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F46C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15B390D4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24C7D456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21299E04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549FD0D3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C91B" w14:textId="77777777" w:rsidR="0092307A" w:rsidRDefault="0092307A">
      <w:r>
        <w:separator/>
      </w:r>
    </w:p>
  </w:footnote>
  <w:footnote w:type="continuationSeparator" w:id="0">
    <w:p w14:paraId="2B751DEC" w14:textId="77777777" w:rsidR="0092307A" w:rsidRDefault="0092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558A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730AB28" wp14:editId="7122D13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25770" w14:textId="77777777" w:rsidR="005E2050" w:rsidRDefault="005E2050">
    <w:pPr>
      <w:pStyle w:val="Intestazione"/>
    </w:pPr>
  </w:p>
  <w:p w14:paraId="10E14865" w14:textId="77777777" w:rsidR="005E2050" w:rsidRDefault="005E2050">
    <w:pPr>
      <w:pStyle w:val="Intestazione"/>
    </w:pPr>
  </w:p>
  <w:p w14:paraId="2DA302F7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61B58104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0B2354A4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5352"/>
    <w:multiLevelType w:val="multilevel"/>
    <w:tmpl w:val="84E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F6576"/>
    <w:multiLevelType w:val="multilevel"/>
    <w:tmpl w:val="379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260E46"/>
    <w:rsid w:val="00292CC6"/>
    <w:rsid w:val="002E35F2"/>
    <w:rsid w:val="002F7467"/>
    <w:rsid w:val="00423765"/>
    <w:rsid w:val="00447160"/>
    <w:rsid w:val="0051460C"/>
    <w:rsid w:val="00525604"/>
    <w:rsid w:val="00576557"/>
    <w:rsid w:val="005C19B6"/>
    <w:rsid w:val="005E2050"/>
    <w:rsid w:val="00617A0A"/>
    <w:rsid w:val="00671A83"/>
    <w:rsid w:val="006D386C"/>
    <w:rsid w:val="006E4BE7"/>
    <w:rsid w:val="00702340"/>
    <w:rsid w:val="00733CA6"/>
    <w:rsid w:val="007B0EA7"/>
    <w:rsid w:val="00830A14"/>
    <w:rsid w:val="00844330"/>
    <w:rsid w:val="00850DF5"/>
    <w:rsid w:val="00865DB1"/>
    <w:rsid w:val="008A3067"/>
    <w:rsid w:val="008B0AE7"/>
    <w:rsid w:val="0092307A"/>
    <w:rsid w:val="00997866"/>
    <w:rsid w:val="00A45B1A"/>
    <w:rsid w:val="00B52F06"/>
    <w:rsid w:val="00B54C6E"/>
    <w:rsid w:val="00BB03EA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A5F31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3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A3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8A3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8A30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uthor">
    <w:name w:val="author"/>
    <w:basedOn w:val="Normale"/>
    <w:rsid w:val="008A3067"/>
    <w:pPr>
      <w:spacing w:before="100" w:beforeAutospacing="1" w:after="100" w:afterAutospacing="1"/>
    </w:pPr>
  </w:style>
  <w:style w:type="paragraph" w:customStyle="1" w:styleId="tag">
    <w:name w:val="tag"/>
    <w:basedOn w:val="Normale"/>
    <w:rsid w:val="008A3067"/>
    <w:pPr>
      <w:spacing w:before="100" w:beforeAutospacing="1" w:after="100" w:afterAutospacing="1"/>
    </w:pPr>
  </w:style>
  <w:style w:type="paragraph" w:customStyle="1" w:styleId="read-later">
    <w:name w:val="read-later"/>
    <w:basedOn w:val="Normale"/>
    <w:rsid w:val="008A3067"/>
    <w:pPr>
      <w:spacing w:before="100" w:beforeAutospacing="1" w:after="100" w:afterAutospacing="1"/>
    </w:pPr>
  </w:style>
  <w:style w:type="paragraph" w:customStyle="1" w:styleId="stampa">
    <w:name w:val="stampa"/>
    <w:basedOn w:val="Normale"/>
    <w:rsid w:val="008A3067"/>
    <w:pPr>
      <w:spacing w:before="100" w:beforeAutospacing="1" w:after="100" w:afterAutospacing="1"/>
    </w:pPr>
  </w:style>
  <w:style w:type="paragraph" w:customStyle="1" w:styleId="pdf">
    <w:name w:val="pdf"/>
    <w:basedOn w:val="Normale"/>
    <w:rsid w:val="008A3067"/>
    <w:pPr>
      <w:spacing w:before="100" w:beforeAutospacing="1" w:after="100" w:afterAutospacing="1"/>
    </w:pPr>
  </w:style>
  <w:style w:type="paragraph" w:customStyle="1" w:styleId="abstract">
    <w:name w:val="abstract"/>
    <w:basedOn w:val="Normale"/>
    <w:rsid w:val="008A30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8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6071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2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0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84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6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2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777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75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03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68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4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9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0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0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4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101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77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3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8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20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19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3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8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7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7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56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55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3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020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5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77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9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2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850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96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99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8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70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4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20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51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37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3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76520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EF6B-91B0-4CF7-A8C7-C01240B4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EE8761</cp:lastModifiedBy>
  <cp:revision>13</cp:revision>
  <cp:lastPrinted>2012-01-11T15:32:00Z</cp:lastPrinted>
  <dcterms:created xsi:type="dcterms:W3CDTF">2015-03-23T10:52:00Z</dcterms:created>
  <dcterms:modified xsi:type="dcterms:W3CDTF">2021-10-06T16:44:00Z</dcterms:modified>
</cp:coreProperties>
</file>